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body>
    <w:p>
      <w:pPr>
        <w:numPr>
          <w:ilvl w:val="0"/>
          <w:numId w:val="0"/>
        </w:numPr>
        <w:jc w:val="center"/>
        <w:shd w:val="clear" w:fill="FFFFFF"/>
        <w:spacing w:lineRule="auto" w:line="240" w:before="0" w:after="0"/>
        <w:ind w:right="0" w:firstLine="0"/>
        <w:rPr>
          <w:spacing w:val="0"/>
          <w:i w:val="0"/>
          <w:b w:val="1"/>
          <w:color w:val="000000" w:themeColor="text1"/>
          <w:position w:val="0"/>
          <w:sz w:val="28"/>
          <w:szCs w:val="28"/>
          <w:rFonts w:ascii="仿宋" w:eastAsia="仿宋" w:hAnsi="仿宋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color w:val="000000" w:themeColor="text1"/>
          <w:position w:val="0"/>
          <w:sz w:val="28"/>
          <w:szCs w:val="28"/>
          <w:rFonts w:ascii="仿宋" w:eastAsia="仿宋" w:hAnsi="仿宋" w:hint="default"/>
        </w:rPr>
        <w:t xml:space="preserve"> </w:t>
      </w:r>
      <w:r>
        <w:rPr>
          <w:spacing w:val="0"/>
          <w:i w:val="0"/>
          <w:b w:val="1"/>
          <w:color w:val="000000" w:themeColor="text1"/>
          <w:position w:val="0"/>
          <w:sz w:val="28"/>
          <w:szCs w:val="28"/>
          <w:rFonts w:ascii="仿宋" w:eastAsia="仿宋" w:hAnsi="仿宋" w:hint="default"/>
        </w:rPr>
        <w:t>有关2020年度山东省青少年和青少年工作重大研究课题结项验收的通知</w:t>
      </w:r>
    </w:p>
    <w:p>
      <w:pPr>
        <w:numPr>
          <w:ilvl w:val="0"/>
          <w:numId w:val="0"/>
        </w:numPr>
        <w:jc w:val="both"/>
        <w:shd w:val="clear" w:fill="FFFFFF"/>
        <w:spacing w:lineRule="auto" w:line="240" w:before="0" w:after="0"/>
        <w:ind w:right="0" w:firstLine="0"/>
        <w:rPr>
          <w:spacing w:val="0"/>
          <w:i w:val="0"/>
          <w:b w:val="0"/>
          <w:color w:val="000000" w:themeColor="text1"/>
          <w:position w:val="0"/>
          <w:sz w:val="28"/>
          <w:szCs w:val="28"/>
          <w:rFonts w:ascii="仿宋" w:eastAsia="仿宋" w:hAnsi="仿宋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color w:val="000000" w:themeColor="text1"/>
          <w:position w:val="0"/>
          <w:sz w:val="28"/>
          <w:szCs w:val="28"/>
          <w:rFonts w:ascii="仿宋" w:eastAsia="仿宋" w:hAnsi="仿宋" w:hint="default"/>
        </w:rPr>
        <w:t>有关院校、有关课题负责人：</w:t>
      </w:r>
    </w:p>
    <w:p>
      <w:pPr>
        <w:numPr>
          <w:ilvl w:val="0"/>
          <w:numId w:val="0"/>
        </w:numPr>
        <w:jc w:val="both"/>
        <w:shd w:val="clear" w:fill="FFFFFF"/>
        <w:spacing w:lineRule="auto" w:line="240" w:before="0" w:after="0"/>
        <w:ind w:right="0" w:firstLine="0"/>
        <w:rPr>
          <w:spacing w:val="0"/>
          <w:i w:val="0"/>
          <w:b w:val="0"/>
          <w:color w:val="000000" w:themeColor="text1"/>
          <w:position w:val="0"/>
          <w:sz w:val="28"/>
          <w:szCs w:val="28"/>
          <w:rFonts w:ascii="仿宋" w:eastAsia="仿宋" w:hAnsi="仿宋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color w:val="000000" w:themeColor="text1"/>
          <w:position w:val="0"/>
          <w:sz w:val="28"/>
          <w:szCs w:val="28"/>
          <w:rFonts w:ascii="仿宋" w:eastAsia="仿宋" w:hAnsi="仿宋" w:hint="default"/>
        </w:rPr>
        <w:t xml:space="preserve">      2020年度山东省青少年和青少年工作重大研究课题已经公布，现</w:t>
      </w:r>
      <w:r>
        <w:rPr>
          <w:spacing w:val="0"/>
          <w:i w:val="0"/>
          <w:b w:val="0"/>
          <w:color w:val="000000" w:themeColor="text1"/>
          <w:position w:val="0"/>
          <w:sz w:val="28"/>
          <w:szCs w:val="28"/>
          <w:rFonts w:ascii="仿宋" w:eastAsia="仿宋" w:hAnsi="仿宋" w:hint="default"/>
        </w:rPr>
        <w:t>将课题结项验收有关事宜通知如下：</w:t>
      </w:r>
    </w:p>
    <w:p>
      <w:pPr>
        <w:numPr>
          <w:ilvl w:val="0"/>
          <w:numId w:val="0"/>
        </w:numPr>
        <w:jc w:val="both"/>
        <w:shd w:val="clear" w:fill="FFFFFF"/>
        <w:spacing w:lineRule="auto" w:line="240" w:before="0" w:after="0"/>
        <w:ind w:left="560" w:right="0" w:firstLine="0"/>
        <w:rPr>
          <w:spacing w:val="0"/>
          <w:i w:val="0"/>
          <w:b w:val="0"/>
          <w:color w:val="000000" w:themeColor="text1"/>
          <w:position w:val="0"/>
          <w:sz w:val="28"/>
          <w:szCs w:val="28"/>
          <w:rFonts w:ascii="仿宋" w:eastAsia="仿宋" w:hAnsi="仿宋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color w:val="000000" w:themeColor="text1"/>
          <w:position w:val="0"/>
          <w:sz w:val="28"/>
          <w:szCs w:val="28"/>
          <w:rFonts w:ascii="仿宋" w:eastAsia="仿宋" w:hAnsi="仿宋" w:hint="default"/>
        </w:rPr>
        <w:t>一、重点课题资助及发票</w:t>
      </w:r>
    </w:p>
    <w:p>
      <w:pPr>
        <w:numPr>
          <w:ilvl w:val="0"/>
          <w:numId w:val="0"/>
        </w:numPr>
        <w:jc w:val="both"/>
        <w:shd w:val="clear" w:fill="FFFFFF"/>
        <w:spacing w:lineRule="auto" w:line="240" w:before="0" w:after="0"/>
        <w:ind w:left="560" w:right="0" w:firstLine="560"/>
        <w:rPr>
          <w:spacing w:val="0"/>
          <w:i w:val="0"/>
          <w:b w:val="0"/>
          <w:color w:val="000000" w:themeColor="text1"/>
          <w:position w:val="0"/>
          <w:sz w:val="28"/>
          <w:szCs w:val="28"/>
          <w:rFonts w:ascii="仿宋" w:eastAsia="仿宋" w:hAnsi="仿宋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color w:val="000000" w:themeColor="text1"/>
          <w:position w:val="0"/>
          <w:sz w:val="28"/>
          <w:szCs w:val="28"/>
          <w:rFonts w:ascii="仿宋" w:eastAsia="仿宋" w:hAnsi="仿宋" w:hint="default"/>
        </w:rPr>
        <w:t>重点课题主持人应提供所在单位财务账号信息，并向第三方单位</w:t>
      </w:r>
      <w:r>
        <w:rPr>
          <w:spacing w:val="0"/>
          <w:i w:val="0"/>
          <w:b w:val="0"/>
          <w:color w:val="000000" w:themeColor="text1"/>
          <w:position w:val="0"/>
          <w:sz w:val="28"/>
          <w:szCs w:val="28"/>
          <w:rFonts w:ascii="仿宋" w:eastAsia="仿宋" w:hAnsi="仿宋" w:hint="default"/>
        </w:rPr>
        <w:t>提供发票，同时填写《重点课题立项协议书》，于2020年4月10日</w:t>
      </w:r>
      <w:r>
        <w:rPr>
          <w:spacing w:val="0"/>
          <w:i w:val="0"/>
          <w:b w:val="0"/>
          <w:color w:val="000000" w:themeColor="text1"/>
          <w:position w:val="0"/>
          <w:sz w:val="28"/>
          <w:szCs w:val="28"/>
          <w:rFonts w:ascii="仿宋" w:eastAsia="仿宋" w:hAnsi="仿宋" w:hint="default"/>
        </w:rPr>
        <w:t>前报送，以便划拨资助经费。重点课题每项资助2000元，其他类别课</w:t>
      </w:r>
      <w:r>
        <w:rPr>
          <w:spacing w:val="0"/>
          <w:i w:val="0"/>
          <w:b w:val="0"/>
          <w:color w:val="000000" w:themeColor="text1"/>
          <w:position w:val="0"/>
          <w:sz w:val="28"/>
          <w:szCs w:val="28"/>
          <w:rFonts w:ascii="仿宋" w:eastAsia="仿宋" w:hAnsi="仿宋" w:hint="default"/>
        </w:rPr>
        <w:t>题经费自筹。</w:t>
      </w:r>
    </w:p>
    <w:p>
      <w:pPr>
        <w:numPr>
          <w:ilvl w:val="0"/>
          <w:numId w:val="0"/>
        </w:numPr>
        <w:jc w:val="both"/>
        <w:shd w:val="clear" w:fill="FFFFFF"/>
        <w:spacing w:lineRule="auto" w:line="240" w:before="0" w:after="0"/>
        <w:ind w:left="560" w:right="0" w:firstLine="560"/>
        <w:rPr>
          <w:spacing w:val="0"/>
          <w:i w:val="0"/>
          <w:b w:val="0"/>
          <w:color w:val="000000" w:themeColor="text1"/>
          <w:position w:val="0"/>
          <w:sz w:val="28"/>
          <w:szCs w:val="28"/>
          <w:rFonts w:ascii="仿宋" w:eastAsia="仿宋" w:hAnsi="仿宋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color w:val="000000" w:themeColor="text1"/>
          <w:position w:val="0"/>
          <w:sz w:val="28"/>
          <w:szCs w:val="28"/>
          <w:rFonts w:ascii="仿宋" w:eastAsia="仿宋" w:hAnsi="仿宋" w:hint="default"/>
        </w:rPr>
        <w:t>重点课题提供资助发票，开票信息：</w:t>
      </w:r>
    </w:p>
    <w:p>
      <w:pPr>
        <w:numPr>
          <w:ilvl w:val="0"/>
          <w:numId w:val="0"/>
        </w:numPr>
        <w:jc w:val="both"/>
        <w:shd w:val="clear" w:fill="FFFFFF"/>
        <w:spacing w:lineRule="auto" w:line="240" w:before="0" w:after="0"/>
        <w:ind w:left="560" w:right="0" w:firstLine="560"/>
        <w:rPr>
          <w:spacing w:val="0"/>
          <w:i w:val="0"/>
          <w:b w:val="0"/>
          <w:color w:val="000000" w:themeColor="text1"/>
          <w:position w:val="0"/>
          <w:sz w:val="28"/>
          <w:szCs w:val="28"/>
          <w:rFonts w:ascii="仿宋" w:eastAsia="仿宋" w:hAnsi="仿宋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color w:val="000000" w:themeColor="text1"/>
          <w:position w:val="0"/>
          <w:sz w:val="28"/>
          <w:szCs w:val="28"/>
          <w:rFonts w:ascii="仿宋" w:eastAsia="仿宋" w:hAnsi="仿宋" w:hint="default"/>
        </w:rPr>
        <w:t>单位名称：山东省青少年教育科学研究院</w:t>
      </w:r>
    </w:p>
    <w:p>
      <w:pPr>
        <w:numPr>
          <w:ilvl w:val="0"/>
          <w:numId w:val="0"/>
        </w:numPr>
        <w:jc w:val="both"/>
        <w:shd w:val="clear" w:fill="FFFFFF"/>
        <w:spacing w:lineRule="auto" w:line="240" w:before="0" w:after="0"/>
        <w:ind w:left="560" w:right="0" w:firstLine="560"/>
        <w:rPr>
          <w:spacing w:val="0"/>
          <w:i w:val="0"/>
          <w:b w:val="0"/>
          <w:color w:val="000000" w:themeColor="text1"/>
          <w:position w:val="0"/>
          <w:sz w:val="28"/>
          <w:szCs w:val="28"/>
          <w:rFonts w:ascii="仿宋" w:eastAsia="仿宋" w:hAnsi="仿宋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color w:val="000000" w:themeColor="text1"/>
          <w:position w:val="0"/>
          <w:sz w:val="28"/>
          <w:szCs w:val="28"/>
          <w:rFonts w:ascii="仿宋" w:eastAsia="仿宋" w:hAnsi="仿宋" w:hint="default"/>
        </w:rPr>
        <w:t>纳税人识别号：52370000MJD636087R。</w:t>
      </w:r>
    </w:p>
    <w:p>
      <w:pPr>
        <w:numPr>
          <w:ilvl w:val="0"/>
          <w:numId w:val="0"/>
        </w:numPr>
        <w:jc w:val="both"/>
        <w:shd w:val="clear" w:fill="FFFFFF"/>
        <w:spacing w:lineRule="auto" w:line="240" w:before="0" w:after="0"/>
        <w:ind w:left="560" w:right="0" w:firstLine="0"/>
        <w:rPr>
          <w:spacing w:val="0"/>
          <w:i w:val="0"/>
          <w:b w:val="0"/>
          <w:color w:val="000000" w:themeColor="text1"/>
          <w:position w:val="0"/>
          <w:sz w:val="28"/>
          <w:szCs w:val="28"/>
          <w:rFonts w:ascii="仿宋" w:eastAsia="仿宋" w:hAnsi="仿宋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color w:val="000000" w:themeColor="text1"/>
          <w:position w:val="0"/>
          <w:sz w:val="28"/>
          <w:szCs w:val="28"/>
          <w:rFonts w:ascii="仿宋" w:eastAsia="仿宋" w:hAnsi="仿宋" w:hint="default"/>
        </w:rPr>
        <w:t>二、缴纳课题结项鉴定费</w:t>
      </w:r>
    </w:p>
    <w:p>
      <w:pPr>
        <w:numPr>
          <w:ilvl w:val="0"/>
          <w:numId w:val="0"/>
        </w:numPr>
        <w:jc w:val="both"/>
        <w:shd w:val="clear" w:fill="FFFFFF"/>
        <w:spacing w:lineRule="auto" w:line="240" w:before="0" w:after="0"/>
        <w:ind w:right="0" w:firstLine="0"/>
        <w:rPr>
          <w:spacing w:val="0"/>
          <w:i w:val="0"/>
          <w:b w:val="0"/>
          <w:color w:val="000000" w:themeColor="text1"/>
          <w:position w:val="0"/>
          <w:sz w:val="28"/>
          <w:szCs w:val="28"/>
          <w:rFonts w:ascii="仿宋" w:eastAsia="仿宋" w:hAnsi="仿宋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color w:val="000000" w:themeColor="text1"/>
          <w:position w:val="0"/>
          <w:sz w:val="28"/>
          <w:szCs w:val="28"/>
          <w:rFonts w:ascii="仿宋" w:eastAsia="仿宋" w:hAnsi="仿宋" w:hint="default"/>
        </w:rPr>
        <w:t xml:space="preserve">      根据课题立项通知，山东省青少年和青少年工作重大研究课题结题</w:t>
      </w:r>
      <w:r>
        <w:rPr>
          <w:spacing w:val="0"/>
          <w:i w:val="0"/>
          <w:b w:val="0"/>
          <w:color w:val="000000" w:themeColor="text1"/>
          <w:position w:val="0"/>
          <w:sz w:val="28"/>
          <w:szCs w:val="28"/>
          <w:rFonts w:ascii="仿宋" w:eastAsia="仿宋" w:hAnsi="仿宋" w:hint="default"/>
        </w:rPr>
        <w:t>由山东省青少年工作领导小组办公室负责统一组织成果鉴定。每项收取课</w:t>
      </w:r>
      <w:r>
        <w:rPr>
          <w:spacing w:val="0"/>
          <w:i w:val="0"/>
          <w:b w:val="0"/>
          <w:color w:val="000000" w:themeColor="text1"/>
          <w:position w:val="0"/>
          <w:sz w:val="28"/>
          <w:szCs w:val="28"/>
          <w:rFonts w:ascii="仿宋" w:eastAsia="仿宋" w:hAnsi="仿宋" w:hint="default"/>
        </w:rPr>
        <w:t>题结项鉴定费800元，课题鉴定费在领取立项证书时收取。鉴定费委托山</w:t>
      </w:r>
      <w:r>
        <w:rPr>
          <w:spacing w:val="0"/>
          <w:i w:val="0"/>
          <w:b w:val="0"/>
          <w:color w:val="000000" w:themeColor="text1"/>
          <w:position w:val="0"/>
          <w:sz w:val="28"/>
          <w:szCs w:val="28"/>
          <w:rFonts w:ascii="仿宋" w:eastAsia="仿宋" w:hAnsi="仿宋" w:hint="default"/>
        </w:rPr>
        <w:t>东省青少年教育科学研究院收取并开具发票。</w:t>
      </w:r>
    </w:p>
    <w:p>
      <w:pPr>
        <w:numPr>
          <w:ilvl w:val="0"/>
          <w:numId w:val="0"/>
        </w:numPr>
        <w:jc w:val="left"/>
        <w:shd w:val="clear" w:fill="FFFFFF"/>
        <w:spacing w:lineRule="auto" w:line="240" w:before="0" w:after="0"/>
        <w:ind w:left="560" w:right="0" w:firstLine="560"/>
        <w:rPr>
          <w:spacing w:val="0"/>
          <w:i w:val="0"/>
          <w:b w:val="0"/>
          <w:color w:val="000000" w:themeColor="text1"/>
          <w:position w:val="0"/>
          <w:sz w:val="28"/>
          <w:szCs w:val="28"/>
          <w:rFonts w:ascii="仿宋" w:eastAsia="仿宋" w:hAnsi="仿宋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color w:val="000000" w:themeColor="text1"/>
          <w:position w:val="0"/>
          <w:sz w:val="28"/>
          <w:szCs w:val="28"/>
          <w:rFonts w:ascii="仿宋" w:eastAsia="仿宋" w:hAnsi="仿宋" w:hint="default"/>
        </w:rPr>
        <w:t>开户银行名称：中国工商银行济南市中支行</w:t>
      </w:r>
    </w:p>
    <w:p>
      <w:pPr>
        <w:numPr>
          <w:ilvl w:val="0"/>
          <w:numId w:val="0"/>
        </w:numPr>
        <w:jc w:val="left"/>
        <w:shd w:val="clear" w:fill="FFFFFF"/>
        <w:spacing w:lineRule="auto" w:line="240" w:before="0" w:after="0"/>
        <w:ind w:left="560" w:right="0" w:firstLine="560"/>
        <w:rPr>
          <w:spacing w:val="0"/>
          <w:i w:val="0"/>
          <w:b w:val="0"/>
          <w:color w:val="000000" w:themeColor="text1"/>
          <w:position w:val="0"/>
          <w:sz w:val="28"/>
          <w:szCs w:val="28"/>
          <w:rFonts w:ascii="仿宋" w:eastAsia="仿宋" w:hAnsi="仿宋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color w:val="000000" w:themeColor="text1"/>
          <w:position w:val="0"/>
          <w:sz w:val="28"/>
          <w:szCs w:val="28"/>
          <w:rFonts w:ascii="仿宋" w:eastAsia="仿宋" w:hAnsi="仿宋" w:hint="default"/>
        </w:rPr>
        <w:t>账户名称：山东省青少年教育科学研究院</w:t>
      </w:r>
    </w:p>
    <w:p>
      <w:pPr>
        <w:numPr>
          <w:ilvl w:val="0"/>
          <w:numId w:val="0"/>
        </w:numPr>
        <w:jc w:val="left"/>
        <w:shd w:val="clear" w:fill="FFFFFF"/>
        <w:spacing w:lineRule="auto" w:line="240" w:before="0" w:after="0"/>
        <w:ind w:left="560" w:right="0" w:firstLine="560"/>
        <w:rPr>
          <w:spacing w:val="0"/>
          <w:i w:val="0"/>
          <w:b w:val="0"/>
          <w:color w:val="000000" w:themeColor="text1"/>
          <w:position w:val="0"/>
          <w:sz w:val="28"/>
          <w:szCs w:val="28"/>
          <w:rFonts w:ascii="仿宋" w:eastAsia="仿宋" w:hAnsi="仿宋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color w:val="000000" w:themeColor="text1"/>
          <w:position w:val="0"/>
          <w:sz w:val="28"/>
          <w:szCs w:val="28"/>
          <w:rFonts w:ascii="仿宋" w:eastAsia="仿宋" w:hAnsi="仿宋" w:hint="default"/>
        </w:rPr>
        <w:t>开户银行代码：102451011095</w:t>
      </w:r>
    </w:p>
    <w:p>
      <w:pPr>
        <w:numPr>
          <w:ilvl w:val="0"/>
          <w:numId w:val="0"/>
        </w:numPr>
        <w:jc w:val="left"/>
        <w:shd w:val="clear" w:fill="FFFFFF"/>
        <w:spacing w:lineRule="auto" w:line="240" w:before="0" w:after="0"/>
        <w:ind w:left="560" w:right="0" w:firstLine="560"/>
        <w:rPr>
          <w:spacing w:val="0"/>
          <w:i w:val="0"/>
          <w:b w:val="0"/>
          <w:color w:val="000000" w:themeColor="text1"/>
          <w:position w:val="0"/>
          <w:sz w:val="28"/>
          <w:szCs w:val="28"/>
          <w:rFonts w:ascii="仿宋" w:eastAsia="仿宋" w:hAnsi="仿宋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color w:val="000000" w:themeColor="text1"/>
          <w:position w:val="0"/>
          <w:sz w:val="28"/>
          <w:szCs w:val="28"/>
          <w:rFonts w:ascii="仿宋" w:eastAsia="仿宋" w:hAnsi="仿宋" w:hint="default"/>
        </w:rPr>
        <w:t xml:space="preserve">账号：1602 1109 1900 0007 789</w:t>
      </w:r>
    </w:p>
    <w:p>
      <w:pPr>
        <w:numPr>
          <w:ilvl w:val="0"/>
          <w:numId w:val="0"/>
        </w:numPr>
        <w:jc w:val="left"/>
        <w:shd w:val="clear" w:fill="FFFFFF"/>
        <w:spacing w:lineRule="auto" w:line="240" w:before="0" w:after="0"/>
        <w:ind w:left="497" w:right="0" w:firstLine="497"/>
        <w:rPr>
          <w:spacing w:val="0"/>
          <w:i w:val="0"/>
          <w:b w:val="0"/>
          <w:color w:val="000000" w:themeColor="text1"/>
          <w:position w:val="0"/>
          <w:sz w:val="28"/>
          <w:szCs w:val="28"/>
          <w:rFonts w:ascii="仿宋" w:eastAsia="仿宋" w:hAnsi="仿宋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color w:val="000000" w:themeColor="text1"/>
          <w:position w:val="0"/>
          <w:sz w:val="28"/>
          <w:szCs w:val="28"/>
          <w:rFonts w:ascii="仿宋" w:eastAsia="仿宋" w:hAnsi="仿宋" w:hint="default"/>
        </w:rPr>
        <w:t>注意事项：汇款时注明课题负责人及课题编号。将单位名称、纳税</w:t>
      </w:r>
      <w:r>
        <w:rPr>
          <w:spacing w:val="0"/>
          <w:i w:val="0"/>
          <w:b w:val="0"/>
          <w:color w:val="000000" w:themeColor="text1"/>
          <w:position w:val="0"/>
          <w:sz w:val="28"/>
          <w:szCs w:val="28"/>
          <w:rFonts w:ascii="仿宋" w:eastAsia="仿宋" w:hAnsi="仿宋" w:hint="default"/>
        </w:rPr>
        <w:t xml:space="preserve">识别号或统一社会信用代码信息发送到财务邮箱cn_qsn@163.com, 说</w:t>
      </w:r>
      <w:r>
        <w:rPr>
          <w:spacing w:val="0"/>
          <w:i w:val="0"/>
          <w:b w:val="0"/>
          <w:color w:val="000000" w:themeColor="text1"/>
          <w:position w:val="0"/>
          <w:sz w:val="28"/>
          <w:szCs w:val="28"/>
          <w:rFonts w:ascii="仿宋" w:eastAsia="仿宋" w:hAnsi="仿宋" w:hint="default"/>
        </w:rPr>
        <w:t xml:space="preserve">明汇款人、汇款事由、联系电话、邮箱，以方便财务科对账联络。 </w:t>
      </w:r>
    </w:p>
    <w:p>
      <w:pPr>
        <w:numPr>
          <w:ilvl w:val="0"/>
          <w:numId w:val="0"/>
        </w:numPr>
        <w:jc w:val="both"/>
        <w:shd w:val="clear" w:fill="FFFFFF"/>
        <w:spacing w:lineRule="auto" w:line="240" w:before="0" w:after="0"/>
        <w:ind w:left="560" w:right="0" w:firstLine="560"/>
        <w:rPr>
          <w:spacing w:val="0"/>
          <w:i w:val="0"/>
          <w:b w:val="0"/>
          <w:color w:val="000000" w:themeColor="text1"/>
          <w:position w:val="0"/>
          <w:sz w:val="28"/>
          <w:szCs w:val="28"/>
          <w:rFonts w:ascii="仿宋" w:eastAsia="仿宋" w:hAnsi="仿宋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color w:val="000000" w:themeColor="text1"/>
          <w:position w:val="0"/>
          <w:sz w:val="28"/>
          <w:szCs w:val="28"/>
          <w:rFonts w:ascii="仿宋" w:eastAsia="仿宋" w:hAnsi="仿宋" w:hint="default"/>
        </w:rPr>
        <w:t>三、结项程序</w:t>
      </w:r>
    </w:p>
    <w:p>
      <w:pPr>
        <w:numPr>
          <w:ilvl w:val="0"/>
          <w:numId w:val="0"/>
        </w:numPr>
        <w:jc w:val="both"/>
        <w:shd w:val="clear" w:fill="FFFFFF"/>
        <w:spacing w:lineRule="auto" w:line="240" w:before="0" w:after="0"/>
        <w:ind w:left="562" w:right="0" w:firstLine="562"/>
        <w:rPr>
          <w:spacing w:val="0"/>
          <w:i w:val="0"/>
          <w:b w:val="0"/>
          <w:color w:val="000000" w:themeColor="text1"/>
          <w:position w:val="0"/>
          <w:sz w:val="28"/>
          <w:szCs w:val="28"/>
          <w:rFonts w:ascii="仿宋" w:eastAsia="仿宋" w:hAnsi="仿宋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color w:val="000000" w:themeColor="text1"/>
          <w:position w:val="0"/>
          <w:sz w:val="28"/>
          <w:szCs w:val="28"/>
          <w:rFonts w:ascii="仿宋" w:eastAsia="仿宋" w:hAnsi="仿宋" w:hint="default"/>
        </w:rPr>
        <w:t>（一）结项时间</w:t>
      </w:r>
    </w:p>
    <w:p>
      <w:pPr>
        <w:numPr>
          <w:ilvl w:val="0"/>
          <w:numId w:val="0"/>
        </w:numPr>
        <w:jc w:val="left"/>
        <w:shd w:val="clear" w:fill="FFFFFF"/>
        <w:spacing w:lineRule="auto" w:line="240" w:before="0" w:after="0"/>
        <w:ind w:left="497" w:right="0" w:firstLine="497"/>
        <w:rPr>
          <w:spacing w:val="0"/>
          <w:i w:val="0"/>
          <w:b w:val="0"/>
          <w:color w:val="000000" w:themeColor="text1"/>
          <w:position w:val="0"/>
          <w:sz w:val="28"/>
          <w:szCs w:val="28"/>
          <w:rFonts w:ascii="仿宋" w:eastAsia="仿宋" w:hAnsi="仿宋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color w:val="000000" w:themeColor="text1"/>
          <w:position w:val="0"/>
          <w:sz w:val="28"/>
          <w:szCs w:val="28"/>
          <w:rFonts w:ascii="仿宋" w:eastAsia="仿宋" w:hAnsi="仿宋" w:hint="default"/>
        </w:rPr>
        <w:t>课题的研究周期为1年。结项材料受理时间：2020年12月1日-</w:t>
      </w:r>
      <w:r>
        <w:rPr>
          <w:spacing w:val="0"/>
          <w:i w:val="0"/>
          <w:b w:val="0"/>
          <w:color w:val="000000" w:themeColor="text1"/>
          <w:position w:val="0"/>
          <w:sz w:val="28"/>
          <w:szCs w:val="28"/>
          <w:rFonts w:ascii="仿宋" w:eastAsia="仿宋" w:hAnsi="仿宋" w:hint="default"/>
        </w:rPr>
        <w:t>10日。课题如需延期，均延期一年，延期者在2021年12月1日-10</w:t>
      </w:r>
      <w:r>
        <w:rPr>
          <w:spacing w:val="0"/>
          <w:i w:val="0"/>
          <w:b w:val="0"/>
          <w:color w:val="000000" w:themeColor="text1"/>
          <w:position w:val="0"/>
          <w:sz w:val="28"/>
          <w:szCs w:val="28"/>
          <w:rFonts w:ascii="仿宋" w:eastAsia="仿宋" w:hAnsi="仿宋" w:hint="default"/>
        </w:rPr>
        <w:t>日提交结项材料。</w:t>
      </w:r>
    </w:p>
    <w:p>
      <w:pPr>
        <w:numPr>
          <w:ilvl w:val="0"/>
          <w:numId w:val="0"/>
        </w:numPr>
        <w:jc w:val="both"/>
        <w:shd w:val="clear" w:fill="FFFFFF"/>
        <w:spacing w:lineRule="auto" w:line="240" w:before="0" w:after="0"/>
        <w:ind w:left="562" w:right="0" w:firstLine="562"/>
        <w:rPr>
          <w:spacing w:val="0"/>
          <w:i w:val="0"/>
          <w:b w:val="0"/>
          <w:color w:val="000000" w:themeColor="text1"/>
          <w:position w:val="0"/>
          <w:sz w:val="28"/>
          <w:szCs w:val="28"/>
          <w:rFonts w:ascii="仿宋" w:eastAsia="仿宋" w:hAnsi="仿宋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color w:val="000000" w:themeColor="text1"/>
          <w:position w:val="0"/>
          <w:sz w:val="28"/>
          <w:szCs w:val="28"/>
          <w:rFonts w:ascii="仿宋" w:eastAsia="仿宋" w:hAnsi="仿宋" w:hint="default"/>
        </w:rPr>
        <w:t>（二）材料报送</w:t>
      </w:r>
    </w:p>
    <w:p>
      <w:pPr>
        <w:numPr>
          <w:ilvl w:val="0"/>
          <w:numId w:val="0"/>
        </w:numPr>
        <w:jc w:val="both"/>
        <w:shd w:val="clear" w:fill="FFFFFF"/>
        <w:spacing w:lineRule="auto" w:line="240" w:before="0" w:after="0"/>
        <w:ind w:left="560" w:right="0" w:firstLine="560"/>
        <w:rPr>
          <w:spacing w:val="0"/>
          <w:i w:val="0"/>
          <w:b w:val="0"/>
          <w:color w:val="000000" w:themeColor="text1"/>
          <w:position w:val="0"/>
          <w:sz w:val="28"/>
          <w:szCs w:val="28"/>
          <w:rFonts w:ascii="仿宋" w:eastAsia="仿宋" w:hAnsi="仿宋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color w:val="000000" w:themeColor="text1"/>
          <w:position w:val="0"/>
          <w:sz w:val="28"/>
          <w:szCs w:val="28"/>
          <w:rFonts w:ascii="仿宋" w:eastAsia="仿宋" w:hAnsi="仿宋" w:hint="default"/>
        </w:rPr>
        <w:t>1、山东省青少年和青少年重大课题鉴定结项申请书一式二份；</w:t>
      </w:r>
    </w:p>
    <w:p>
      <w:pPr>
        <w:numPr>
          <w:ilvl w:val="0"/>
          <w:numId w:val="0"/>
        </w:numPr>
        <w:jc w:val="both"/>
        <w:shd w:val="clear" w:fill="FFFFFF"/>
        <w:spacing w:lineRule="auto" w:line="240" w:before="0" w:after="0"/>
        <w:ind w:left="560" w:right="0" w:firstLine="560"/>
        <w:rPr>
          <w:spacing w:val="0"/>
          <w:i w:val="0"/>
          <w:b w:val="0"/>
          <w:color w:val="000000" w:themeColor="text1"/>
          <w:position w:val="0"/>
          <w:sz w:val="28"/>
          <w:szCs w:val="28"/>
          <w:rFonts w:ascii="仿宋" w:eastAsia="仿宋" w:hAnsi="仿宋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color w:val="000000" w:themeColor="text1"/>
          <w:position w:val="0"/>
          <w:sz w:val="28"/>
          <w:szCs w:val="28"/>
          <w:rFonts w:ascii="仿宋" w:eastAsia="仿宋" w:hAnsi="仿宋" w:hint="default"/>
        </w:rPr>
        <w:t>2、立项证书复印件一式一份；</w:t>
      </w:r>
    </w:p>
    <w:p>
      <w:pPr>
        <w:numPr>
          <w:ilvl w:val="0"/>
          <w:numId w:val="0"/>
        </w:numPr>
        <w:jc w:val="both"/>
        <w:shd w:val="clear" w:fill="FFFFFF"/>
        <w:spacing w:lineRule="auto" w:line="240" w:before="0" w:after="0"/>
        <w:ind w:left="560" w:right="0" w:firstLine="560"/>
        <w:rPr>
          <w:spacing w:val="0"/>
          <w:i w:val="0"/>
          <w:b w:val="0"/>
          <w:color w:val="000000" w:themeColor="text1"/>
          <w:position w:val="0"/>
          <w:sz w:val="28"/>
          <w:szCs w:val="28"/>
          <w:rFonts w:ascii="仿宋" w:eastAsia="仿宋" w:hAnsi="仿宋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color w:val="000000" w:themeColor="text1"/>
          <w:position w:val="0"/>
          <w:sz w:val="28"/>
          <w:szCs w:val="28"/>
          <w:rFonts w:ascii="仿宋" w:eastAsia="仿宋" w:hAnsi="仿宋" w:hint="default"/>
        </w:rPr>
        <w:t>3、研究成果：公开发表的论文或者研究报告，研究报告不低于</w:t>
      </w:r>
      <w:r>
        <w:rPr>
          <w:spacing w:val="0"/>
          <w:i w:val="0"/>
          <w:b w:val="0"/>
          <w:color w:val="000000" w:themeColor="text1"/>
          <w:position w:val="0"/>
          <w:sz w:val="28"/>
          <w:szCs w:val="28"/>
          <w:rFonts w:ascii="仿宋" w:eastAsia="仿宋" w:hAnsi="仿宋" w:hint="default"/>
        </w:rPr>
        <w:t>6000字，一式二份；</w:t>
      </w:r>
    </w:p>
    <w:p>
      <w:pPr>
        <w:numPr>
          <w:ilvl w:val="0"/>
          <w:numId w:val="0"/>
        </w:numPr>
        <w:jc w:val="both"/>
        <w:shd w:val="clear" w:fill="FFFFFF"/>
        <w:spacing w:lineRule="auto" w:line="240" w:before="0" w:after="0"/>
        <w:ind w:left="560" w:right="0" w:firstLine="560"/>
        <w:rPr>
          <w:spacing w:val="0"/>
          <w:i w:val="0"/>
          <w:b w:val="0"/>
          <w:color w:val="000000" w:themeColor="text1"/>
          <w:position w:val="0"/>
          <w:sz w:val="28"/>
          <w:szCs w:val="28"/>
          <w:rFonts w:ascii="仿宋" w:eastAsia="仿宋" w:hAnsi="仿宋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color w:val="000000" w:themeColor="text1"/>
          <w:position w:val="0"/>
          <w:sz w:val="28"/>
          <w:szCs w:val="28"/>
          <w:rFonts w:ascii="仿宋" w:eastAsia="仿宋" w:hAnsi="仿宋" w:hint="default"/>
        </w:rPr>
        <w:t>4、结项汇总表一式一份。</w:t>
      </w:r>
    </w:p>
    <w:p>
      <w:pPr>
        <w:numPr>
          <w:ilvl w:val="0"/>
          <w:numId w:val="0"/>
        </w:numPr>
        <w:jc w:val="both"/>
        <w:shd w:val="clear" w:fill="FFFFFF"/>
        <w:spacing w:lineRule="auto" w:line="240" w:before="0" w:after="0"/>
        <w:ind w:left="560" w:right="0" w:firstLine="560"/>
        <w:rPr>
          <w:spacing w:val="0"/>
          <w:i w:val="0"/>
          <w:b w:val="0"/>
          <w:color w:val="000000" w:themeColor="text1"/>
          <w:position w:val="0"/>
          <w:sz w:val="28"/>
          <w:szCs w:val="28"/>
          <w:rFonts w:ascii="仿宋" w:eastAsia="仿宋" w:hAnsi="仿宋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color w:val="000000" w:themeColor="text1"/>
          <w:position w:val="0"/>
          <w:sz w:val="28"/>
          <w:szCs w:val="28"/>
          <w:rFonts w:ascii="仿宋" w:eastAsia="仿宋" w:hAnsi="仿宋" w:hint="default"/>
        </w:rPr>
        <w:t>以上材料不全，将无法参加结项评审。</w:t>
      </w:r>
    </w:p>
    <w:p>
      <w:pPr>
        <w:numPr>
          <w:ilvl w:val="0"/>
          <w:numId w:val="0"/>
        </w:numPr>
        <w:jc w:val="both"/>
        <w:shd w:val="clear" w:fill="FFFFFF"/>
        <w:spacing w:lineRule="auto" w:line="240" w:before="0" w:after="0"/>
        <w:ind w:left="560" w:right="0" w:firstLine="560"/>
        <w:rPr>
          <w:spacing w:val="0"/>
          <w:i w:val="0"/>
          <w:b w:val="0"/>
          <w:color w:val="000000" w:themeColor="text1"/>
          <w:position w:val="0"/>
          <w:sz w:val="28"/>
          <w:szCs w:val="28"/>
          <w:rFonts w:ascii="仿宋" w:eastAsia="仿宋" w:hAnsi="仿宋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color w:val="000000" w:themeColor="text1"/>
          <w:position w:val="0"/>
          <w:sz w:val="28"/>
          <w:szCs w:val="28"/>
          <w:rFonts w:ascii="仿宋" w:eastAsia="仿宋" w:hAnsi="仿宋" w:hint="default"/>
        </w:rPr>
        <w:t>纸质版结项材料邮寄到山东省青少年教育科学研究院秘书处；电</w:t>
      </w:r>
      <w:r>
        <w:rPr>
          <w:spacing w:val="0"/>
          <w:i w:val="0"/>
          <w:b w:val="0"/>
          <w:color w:val="000000" w:themeColor="text1"/>
          <w:position w:val="0"/>
          <w:sz w:val="28"/>
          <w:szCs w:val="28"/>
          <w:rFonts w:ascii="仿宋" w:eastAsia="仿宋" w:hAnsi="仿宋" w:hint="default"/>
        </w:rPr>
        <w:t>子版材料发送到邮箱sd_qsn@163.com。</w:t>
      </w:r>
    </w:p>
    <w:p>
      <w:pPr>
        <w:numPr>
          <w:ilvl w:val="0"/>
          <w:numId w:val="0"/>
        </w:numPr>
        <w:jc w:val="both"/>
        <w:shd w:val="clear" w:fill="FFFFFF"/>
        <w:spacing w:lineRule="auto" w:line="240" w:before="0" w:after="0"/>
        <w:ind w:left="560" w:right="0" w:firstLine="0"/>
        <w:rPr>
          <w:spacing w:val="0"/>
          <w:i w:val="0"/>
          <w:b w:val="0"/>
          <w:color w:val="000000" w:themeColor="text1"/>
          <w:position w:val="0"/>
          <w:sz w:val="28"/>
          <w:szCs w:val="28"/>
          <w:rFonts w:ascii="仿宋" w:eastAsia="仿宋" w:hAnsi="仿宋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color w:val="000000" w:themeColor="text1"/>
          <w:position w:val="0"/>
          <w:sz w:val="28"/>
          <w:szCs w:val="28"/>
          <w:rFonts w:ascii="仿宋" w:eastAsia="仿宋" w:hAnsi="仿宋" w:hint="default"/>
        </w:rPr>
        <w:t>四、优秀成果奖</w:t>
      </w:r>
    </w:p>
    <w:p>
      <w:pPr>
        <w:numPr>
          <w:ilvl w:val="0"/>
          <w:numId w:val="0"/>
        </w:numPr>
        <w:jc w:val="both"/>
        <w:shd w:val="clear" w:fill="FFFFFF"/>
        <w:spacing w:lineRule="auto" w:line="240" w:before="0" w:after="0"/>
        <w:ind w:left="560" w:right="0" w:firstLine="560"/>
        <w:rPr>
          <w:spacing w:val="0"/>
          <w:i w:val="0"/>
          <w:b w:val="0"/>
          <w:color w:val="000000" w:themeColor="text1"/>
          <w:position w:val="0"/>
          <w:sz w:val="28"/>
          <w:szCs w:val="28"/>
          <w:rFonts w:ascii="仿宋" w:eastAsia="仿宋" w:hAnsi="仿宋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color w:val="000000" w:themeColor="text1"/>
          <w:position w:val="0"/>
          <w:sz w:val="28"/>
          <w:szCs w:val="28"/>
          <w:rFonts w:ascii="仿宋" w:eastAsia="仿宋" w:hAnsi="仿宋" w:hint="default"/>
        </w:rPr>
        <w:t>2020年度山东省青少年和青少年工作重大研究课题所有结项课</w:t>
      </w:r>
      <w:r>
        <w:rPr>
          <w:spacing w:val="0"/>
          <w:i w:val="0"/>
          <w:b w:val="0"/>
          <w:color w:val="000000" w:themeColor="text1"/>
          <w:position w:val="0"/>
          <w:sz w:val="28"/>
          <w:szCs w:val="28"/>
          <w:rFonts w:ascii="仿宋" w:eastAsia="仿宋" w:hAnsi="仿宋" w:hint="default"/>
        </w:rPr>
        <w:t>题由学术委员会推荐参加山东省教育科学研究优秀成果奖的评审，课</w:t>
      </w:r>
      <w:r>
        <w:rPr>
          <w:spacing w:val="0"/>
          <w:i w:val="0"/>
          <w:b w:val="0"/>
          <w:color w:val="000000" w:themeColor="text1"/>
          <w:position w:val="0"/>
          <w:sz w:val="28"/>
          <w:szCs w:val="28"/>
          <w:rFonts w:ascii="仿宋" w:eastAsia="仿宋" w:hAnsi="仿宋" w:hint="default"/>
        </w:rPr>
        <w:t>题主持人领取结项证书时同时获得优秀成果奖证书。</w:t>
      </w:r>
    </w:p>
    <w:p>
      <w:pPr>
        <w:numPr>
          <w:ilvl w:val="0"/>
          <w:numId w:val="0"/>
        </w:numPr>
        <w:jc w:val="both"/>
        <w:shd w:val="clear" w:fill="FFFFFF"/>
        <w:spacing w:lineRule="auto" w:line="240" w:before="0" w:after="0"/>
        <w:ind w:left="560" w:right="0" w:firstLine="0"/>
        <w:rPr>
          <w:spacing w:val="0"/>
          <w:i w:val="0"/>
          <w:b w:val="0"/>
          <w:color w:val="000000" w:themeColor="text1"/>
          <w:position w:val="0"/>
          <w:sz w:val="28"/>
          <w:szCs w:val="28"/>
          <w:rFonts w:ascii="仿宋" w:eastAsia="仿宋" w:hAnsi="仿宋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color w:val="000000" w:themeColor="text1"/>
          <w:position w:val="0"/>
          <w:sz w:val="28"/>
          <w:szCs w:val="28"/>
          <w:rFonts w:ascii="仿宋" w:eastAsia="仿宋" w:hAnsi="仿宋" w:hint="default"/>
        </w:rPr>
        <w:t>五、立项证书领取</w:t>
      </w:r>
    </w:p>
    <w:p>
      <w:pPr>
        <w:numPr>
          <w:ilvl w:val="0"/>
          <w:numId w:val="0"/>
        </w:numPr>
        <w:jc w:val="both"/>
        <w:shd w:val="clear" w:fill="FFFFFF"/>
        <w:spacing w:lineRule="auto" w:line="240" w:before="0" w:after="0"/>
        <w:ind w:left="560" w:right="0" w:firstLine="560"/>
        <w:rPr>
          <w:spacing w:val="0"/>
          <w:i w:val="0"/>
          <w:b w:val="0"/>
          <w:color w:val="000000" w:themeColor="text1"/>
          <w:position w:val="0"/>
          <w:sz w:val="28"/>
          <w:szCs w:val="28"/>
          <w:rFonts w:ascii="仿宋" w:eastAsia="仿宋" w:hAnsi="仿宋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color w:val="000000" w:themeColor="text1"/>
          <w:position w:val="0"/>
          <w:sz w:val="28"/>
          <w:szCs w:val="28"/>
          <w:rFonts w:ascii="仿宋" w:eastAsia="仿宋" w:hAnsi="仿宋" w:hint="default"/>
        </w:rPr>
        <w:t>课题承担单位或课题负责人将评审费缴纳完毕，课题立项证书由</w:t>
      </w:r>
      <w:r>
        <w:rPr>
          <w:spacing w:val="0"/>
          <w:i w:val="0"/>
          <w:b w:val="0"/>
          <w:color w:val="000000" w:themeColor="text1"/>
          <w:position w:val="0"/>
          <w:sz w:val="28"/>
          <w:szCs w:val="28"/>
          <w:rFonts w:ascii="仿宋" w:eastAsia="仿宋" w:hAnsi="仿宋" w:hint="default"/>
        </w:rPr>
        <w:t>申报单位集中领取或课题负责人领取。</w:t>
      </w:r>
    </w:p>
    <w:p>
      <w:pPr>
        <w:numPr>
          <w:ilvl w:val="0"/>
          <w:numId w:val="0"/>
        </w:numPr>
        <w:jc w:val="both"/>
        <w:shd w:val="clear" w:fill="FFFFFF"/>
        <w:spacing w:lineRule="auto" w:line="240" w:before="0" w:after="0"/>
        <w:ind w:left="560" w:right="0" w:firstLine="560"/>
        <w:rPr>
          <w:spacing w:val="0"/>
          <w:i w:val="0"/>
          <w:b w:val="0"/>
          <w:color w:val="000000" w:themeColor="text1"/>
          <w:position w:val="0"/>
          <w:sz w:val="28"/>
          <w:szCs w:val="28"/>
          <w:rFonts w:ascii="仿宋" w:eastAsia="仿宋" w:hAnsi="仿宋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color w:val="000000" w:themeColor="text1"/>
          <w:position w:val="0"/>
          <w:sz w:val="28"/>
          <w:szCs w:val="28"/>
          <w:rFonts w:ascii="仿宋" w:eastAsia="仿宋" w:hAnsi="仿宋" w:hint="default"/>
        </w:rPr>
        <w:t>领取方式：快递或自取。快递地址：与申报书无误的，将参照申</w:t>
      </w:r>
      <w:r>
        <w:rPr>
          <w:spacing w:val="0"/>
          <w:i w:val="0"/>
          <w:b w:val="0"/>
          <w:color w:val="000000" w:themeColor="text1"/>
          <w:position w:val="0"/>
          <w:sz w:val="28"/>
          <w:szCs w:val="28"/>
          <w:rFonts w:ascii="仿宋" w:eastAsia="仿宋" w:hAnsi="仿宋" w:hint="default"/>
        </w:rPr>
        <w:t>报书信息安排快递，如有变动，请及时告知。</w:t>
      </w:r>
      <w:r>
        <w:rPr>
          <w:spacing w:val="0"/>
          <w:i w:val="0"/>
          <w:b w:val="0"/>
          <w:color w:val="000000" w:themeColor="text1"/>
          <w:position w:val="0"/>
          <w:sz w:val="28"/>
          <w:szCs w:val="28"/>
          <w:rFonts w:ascii="仿宋" w:eastAsia="仿宋" w:hAnsi="仿宋" w:hint="default"/>
        </w:rPr>
        <w:br/>
      </w:r>
      <w:r>
        <w:rPr>
          <w:spacing w:val="0"/>
          <w:i w:val="0"/>
          <w:b w:val="0"/>
          <w:color w:val="000000" w:themeColor="text1"/>
          <w:position w:val="0"/>
          <w:sz w:val="28"/>
          <w:szCs w:val="28"/>
          <w:rFonts w:ascii="仿宋" w:eastAsia="仿宋" w:hAnsi="仿宋" w:hint="default"/>
        </w:rPr>
        <w:t xml:space="preserve">       证书领取时间：2020年3-4月份。</w:t>
      </w:r>
    </w:p>
    <w:p>
      <w:pPr>
        <w:numPr>
          <w:ilvl w:val="0"/>
          <w:numId w:val="0"/>
        </w:numPr>
        <w:jc w:val="both"/>
        <w:shd w:val="clear" w:fill="FFFFFF"/>
        <w:spacing w:lineRule="auto" w:line="240" w:before="0" w:after="0"/>
        <w:ind w:left="560" w:right="0" w:firstLine="0"/>
        <w:rPr>
          <w:spacing w:val="0"/>
          <w:i w:val="0"/>
          <w:b w:val="0"/>
          <w:color w:val="000000" w:themeColor="text1"/>
          <w:position w:val="0"/>
          <w:sz w:val="28"/>
          <w:szCs w:val="28"/>
          <w:rFonts w:ascii="仿宋" w:eastAsia="仿宋" w:hAnsi="仿宋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color w:val="000000" w:themeColor="text1"/>
          <w:position w:val="0"/>
          <w:sz w:val="28"/>
          <w:szCs w:val="28"/>
          <w:rFonts w:ascii="仿宋" w:eastAsia="仿宋" w:hAnsi="仿宋" w:hint="default"/>
        </w:rPr>
        <w:t>六、联系方式</w:t>
      </w:r>
    </w:p>
    <w:p>
      <w:pPr>
        <w:numPr>
          <w:ilvl w:val="0"/>
          <w:numId w:val="0"/>
        </w:numPr>
        <w:jc w:val="both"/>
        <w:shd w:val="clear" w:fill="FFFFFF"/>
        <w:spacing w:lineRule="auto" w:line="240" w:before="0" w:after="0"/>
        <w:ind w:left="560" w:right="0" w:firstLine="560"/>
        <w:rPr>
          <w:spacing w:val="0"/>
          <w:i w:val="0"/>
          <w:b w:val="0"/>
          <w:color w:val="000000" w:themeColor="text1"/>
          <w:position w:val="0"/>
          <w:sz w:val="28"/>
          <w:szCs w:val="28"/>
          <w:rFonts w:ascii="仿宋" w:eastAsia="仿宋" w:hAnsi="仿宋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color w:val="000000" w:themeColor="text1"/>
          <w:position w:val="0"/>
          <w:sz w:val="28"/>
          <w:szCs w:val="28"/>
          <w:rFonts w:ascii="仿宋" w:eastAsia="仿宋" w:hAnsi="仿宋" w:hint="default"/>
        </w:rPr>
        <w:t>地址：济南市历下区文化东路63号恒大帝景写字楼909办公室</w:t>
      </w:r>
    </w:p>
    <w:p>
      <w:pPr>
        <w:numPr>
          <w:ilvl w:val="0"/>
          <w:numId w:val="0"/>
        </w:numPr>
        <w:jc w:val="both"/>
        <w:shd w:val="clear" w:fill="FFFFFF"/>
        <w:spacing w:lineRule="auto" w:line="240" w:before="0" w:after="0"/>
        <w:ind w:left="560" w:right="0" w:firstLine="560"/>
        <w:rPr>
          <w:spacing w:val="0"/>
          <w:i w:val="0"/>
          <w:b w:val="0"/>
          <w:color w:val="000000" w:themeColor="text1"/>
          <w:position w:val="0"/>
          <w:sz w:val="28"/>
          <w:szCs w:val="28"/>
          <w:rFonts w:ascii="仿宋" w:eastAsia="仿宋" w:hAnsi="仿宋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color w:val="000000" w:themeColor="text1"/>
          <w:position w:val="0"/>
          <w:sz w:val="28"/>
          <w:szCs w:val="28"/>
          <w:rFonts w:ascii="仿宋" w:eastAsia="仿宋" w:hAnsi="仿宋" w:hint="default"/>
        </w:rPr>
        <w:t>邮箱：sd_qsn@163.com</w:t>
      </w:r>
    </w:p>
    <w:p>
      <w:pPr>
        <w:numPr>
          <w:ilvl w:val="0"/>
          <w:numId w:val="0"/>
        </w:numPr>
        <w:jc w:val="both"/>
        <w:shd w:val="clear" w:fill="FFFFFF"/>
        <w:spacing w:lineRule="auto" w:line="240" w:before="0" w:after="0"/>
        <w:ind w:left="560" w:right="0" w:firstLine="560"/>
        <w:rPr>
          <w:spacing w:val="0"/>
          <w:i w:val="0"/>
          <w:b w:val="0"/>
          <w:color w:val="000000" w:themeColor="text1"/>
          <w:position w:val="0"/>
          <w:sz w:val="28"/>
          <w:szCs w:val="28"/>
          <w:rFonts w:ascii="仿宋" w:eastAsia="仿宋" w:hAnsi="仿宋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color w:val="000000" w:themeColor="text1"/>
          <w:position w:val="0"/>
          <w:sz w:val="28"/>
          <w:szCs w:val="28"/>
          <w:rFonts w:ascii="仿宋" w:eastAsia="仿宋" w:hAnsi="仿宋" w:hint="default"/>
        </w:rPr>
        <w:t xml:space="preserve">联系电话：0531—82076188   </w:t>
      </w:r>
    </w:p>
    <w:p>
      <w:pPr>
        <w:numPr>
          <w:ilvl w:val="0"/>
          <w:numId w:val="0"/>
        </w:numPr>
        <w:jc w:val="center"/>
        <w:shd w:val="clear" w:fill="FFFFFF"/>
        <w:spacing w:lineRule="auto" w:line="240" w:before="0" w:after="0"/>
        <w:ind w:right="0" w:firstLine="0"/>
        <w:rPr>
          <w:color w:val="000000" w:themeColor="text1"/>
          <w:position w:val="0"/>
          <w:sz w:val="28"/>
          <w:szCs w:val="28"/>
          <w:rFonts w:ascii="仿宋" w:eastAsia="仿宋" w:hAnsi="仿宋" w:hint="default"/>
        </w:rPr>
        <w:wordWrap w:val="off"/>
        <w:autoSpaceDE w:val="1"/>
        <w:autoSpaceDN w:val="1"/>
      </w:pPr>
    </w:p>
    <w:sectPr>
      <w:footnotePr>
        <w:numFmt w:val="decimal"/>
        <w:numRestart w:val="continuous"/>
        <w:numStart w:val="1"/>
        <w:pos w:val="pageBottom"/>
      </w:footnotePr>
      <w:endnotePr>
        <w:numFmt w:val="lowerRoman"/>
        <w:numRestart w:val="continuous"/>
        <w:numStart w:val="1"/>
        <w:pos w:val="docEnd"/>
      </w:endnotePr>
      <w:pgSz w:w="11906" w:h="16838"/>
      <w:pgMar w:top="1701" w:left="1440" w:bottom="1440" w:right="1440" w:header="708" w:footer="708" w:gutter="0"/>
      <w:pgNumType w:fmt="decimal"/>
      <w:docGrid w:type="default" w:linePitch="360" w:charSpace="614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Microsoft YaHei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맑은 고딕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仿宋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800"/>
  <w:displayHorizontalDrawingGridEvery w:val="0"/>
  <w:displayVerticalDrawingGridEvery w:val="2"/>
  <w:noPunctuationKerning/>
  <w:characterSpacingControl w:val="doNotCompress"/>
  <w:bordersDoNotSurroundHeader/>
  <w:bordersDoNotSurroundFooter/>
  <w:compat w:val="0">
    <w:balanceSingleByteDoubleByteWidth/>
    <w:doNotExpandShiftReturn/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:stylePaneFormatFilter w:val="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autoSpaceDE w:val="1"/>
        <w:autoSpaceDN w:val="1"/>
        <w:jc w:val="both"/>
        <w:widowControl/>
        <w:wordWrap/>
      </w:pPr>
    </w:pPrDefault>
    <w:rPrDefault>
      <w:rPr>
        <w:shd w:val="clear"/>
        <w:sz w:val="21"/>
        <w:szCs w:val="21"/>
        <w:w w:val="100"/>
      </w:rPr>
    </w:rPrDefault>
  </w:docDefaults>
  <w:style w:default="1" w:styleId="PO1" w:type="paragraph">
    <w:name w:val="Normal"/>
    <w:link w:val="PO-1"/>
    <w:qFormat/>
    <w:uiPriority w:val="1"/>
    <w:pPr>
      <w:autoSpaceDE w:val="1"/>
      <w:autoSpaceDN w:val="1"/>
      <w:jc w:val="both"/>
      <w:widowControl/>
      <w:wordWrap/>
    </w:pPr>
    <w:rPr>
      <w:shd w:val="clear"/>
      <w:sz w:val="21"/>
      <w:szCs w:val="21"/>
      <w:w w:val="100"/>
    </w:rPr>
  </w:style>
  <w:style w:default="1" w:styleId="PO2" w:type="character">
    <w:name w:val="Default Paragraph Font"/>
    <w:qFormat/>
    <w:uiPriority w:val="2"/>
    <w:semiHidden/>
    <w:unhideWhenUsed/>
    <w:rPr>
      <w:shd w:val="clear"/>
      <w:sz w:val="21"/>
      <w:szCs w:val="21"/>
      <w:w w:val="100"/>
    </w:rPr>
  </w:style>
  <w:style w:default="1" w:styleId="PO3" w:type="table">
    <w:name w:val="Normal Table"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5" w:type="paragraph">
    <w:name w:val="No Spacing"/>
    <w:link w:val="PO-1"/>
    <w:qFormat/>
    <w:uiPriority w:val="5"/>
    <w:pPr>
      <w:autoSpaceDE w:val="1"/>
      <w:autoSpaceDN w:val="1"/>
      <w:jc w:val="both"/>
      <w:widowControl/>
      <w:wordWrap/>
    </w:pPr>
    <w:rPr>
      <w:shd w:val="clear"/>
      <w:sz w:val="21"/>
      <w:szCs w:val="21"/>
      <w:w w:val="100"/>
    </w:rPr>
  </w:style>
  <w:style w:styleId="PO6" w:type="paragraph">
    <w:name w:val="Title"/>
    <w:link w:val="PO-1"/>
    <w:qFormat/>
    <w:uiPriority w:val="6"/>
    <w:pPr>
      <w:autoSpaceDE w:val="1"/>
      <w:autoSpaceDN w:val="1"/>
      <w:jc w:val="center"/>
      <w:widowControl/>
      <w:wordWrap/>
    </w:pPr>
    <w:rPr>
      <w:b/>
      <w:shd w:val="clear"/>
      <w:sz w:val="32"/>
      <w:szCs w:val="32"/>
      <w:w w:val="100"/>
    </w:rPr>
  </w:style>
  <w:style w:styleId="PO7" w:type="paragraph">
    <w:name w:val="heading 1"/>
    <w:link w:val="PO-1"/>
    <w:qFormat/>
    <w:uiPriority w:val="7"/>
    <w:pPr>
      <w:autoSpaceDE w:val="1"/>
      <w:autoSpaceDN w:val="1"/>
      <w:jc w:val="both"/>
      <w:widowControl/>
      <w:wordWrap/>
    </w:pPr>
    <w:rPr>
      <w:shd w:val="clear"/>
      <w:sz w:val="28"/>
      <w:szCs w:val="28"/>
      <w:w w:val="100"/>
    </w:rPr>
  </w:style>
  <w:style w:styleId="PO8" w:type="paragraph">
    <w:name w:val="heading 2"/>
    <w:link w:val="PO-1"/>
    <w:qFormat/>
    <w:uiPriority w:val="8"/>
    <w:pPr>
      <w:autoSpaceDE w:val="1"/>
      <w:autoSpaceDN w:val="1"/>
      <w:jc w:val="both"/>
      <w:widowControl/>
      <w:wordWrap/>
    </w:pPr>
    <w:rPr>
      <w:shd w:val="clear"/>
      <w:sz w:val="21"/>
      <w:szCs w:val="21"/>
      <w:w w:val="100"/>
    </w:rPr>
  </w:style>
  <w:style w:styleId="PO9" w:type="paragraph">
    <w:name w:val="heading 3"/>
    <w:link w:val="PO-1"/>
    <w:qFormat/>
    <w:uiPriority w:val="9"/>
    <w:pPr>
      <w:autoSpaceDE w:val="1"/>
      <w:autoSpaceDN w:val="1"/>
      <w:ind w:left="1000" w:hanging="400"/>
      <w:jc w:val="both"/>
      <w:widowControl/>
      <w:wordWrap/>
    </w:pPr>
    <w:rPr>
      <w:shd w:val="clear"/>
      <w:sz w:val="21"/>
      <w:szCs w:val="21"/>
      <w:w w:val="100"/>
    </w:rPr>
  </w:style>
  <w:style w:styleId="PO10" w:type="paragraph">
    <w:name w:val="heading 4"/>
    <w:link w:val="PO-1"/>
    <w:qFormat/>
    <w:uiPriority w:val="10"/>
    <w:pPr>
      <w:autoSpaceDE w:val="1"/>
      <w:autoSpaceDN w:val="1"/>
      <w:ind w:left="1200" w:hanging="400"/>
      <w:jc w:val="both"/>
      <w:widowControl/>
      <w:wordWrap/>
    </w:pPr>
    <w:rPr>
      <w:b/>
      <w:shd w:val="clear"/>
      <w:sz w:val="21"/>
      <w:szCs w:val="21"/>
      <w:w w:val="100"/>
    </w:rPr>
  </w:style>
  <w:style w:styleId="PO11" w:type="paragraph">
    <w:name w:val="heading 5"/>
    <w:link w:val="PO-1"/>
    <w:qFormat/>
    <w:uiPriority w:val="11"/>
    <w:pPr>
      <w:autoSpaceDE w:val="1"/>
      <w:autoSpaceDN w:val="1"/>
      <w:ind w:left="1400" w:hanging="400"/>
      <w:jc w:val="both"/>
      <w:widowControl/>
      <w:wordWrap/>
    </w:pPr>
    <w:rPr>
      <w:shd w:val="clear"/>
      <w:sz w:val="21"/>
      <w:szCs w:val="21"/>
      <w:w w:val="100"/>
    </w:rPr>
  </w:style>
  <w:style w:styleId="PO12" w:type="paragraph">
    <w:name w:val="heading 6"/>
    <w:link w:val="PO-1"/>
    <w:qFormat/>
    <w:uiPriority w:val="12"/>
    <w:pPr>
      <w:autoSpaceDE w:val="1"/>
      <w:autoSpaceDN w:val="1"/>
      <w:ind w:left="1600" w:hanging="400"/>
      <w:jc w:val="both"/>
      <w:widowControl/>
      <w:wordWrap/>
    </w:pPr>
    <w:rPr>
      <w:b/>
      <w:shd w:val="clear"/>
      <w:sz w:val="21"/>
      <w:szCs w:val="21"/>
      <w:w w:val="100"/>
    </w:rPr>
  </w:style>
  <w:style w:styleId="PO13" w:type="paragraph">
    <w:name w:val="heading 7"/>
    <w:link w:val="PO-1"/>
    <w:qFormat/>
    <w:uiPriority w:val="13"/>
    <w:pPr>
      <w:autoSpaceDE w:val="1"/>
      <w:autoSpaceDN w:val="1"/>
      <w:ind w:left="1800" w:hanging="400"/>
      <w:jc w:val="both"/>
      <w:widowControl/>
      <w:wordWrap/>
    </w:pPr>
    <w:rPr>
      <w:shd w:val="clear"/>
      <w:sz w:val="21"/>
      <w:szCs w:val="21"/>
      <w:w w:val="100"/>
    </w:rPr>
  </w:style>
  <w:style w:styleId="PO14" w:type="paragraph">
    <w:name w:val="heading 8"/>
    <w:link w:val="PO-1"/>
    <w:qFormat/>
    <w:uiPriority w:val="14"/>
    <w:pPr>
      <w:autoSpaceDE w:val="1"/>
      <w:autoSpaceDN w:val="1"/>
      <w:ind w:left="2000" w:hanging="400"/>
      <w:jc w:val="both"/>
      <w:widowControl/>
      <w:wordWrap/>
    </w:pPr>
    <w:rPr>
      <w:shd w:val="clear"/>
      <w:sz w:val="21"/>
      <w:szCs w:val="21"/>
      <w:w w:val="100"/>
    </w:rPr>
  </w:style>
  <w:style w:styleId="PO15" w:type="paragraph">
    <w:name w:val="heading 9"/>
    <w:link w:val="PO-1"/>
    <w:qFormat/>
    <w:uiPriority w:val="15"/>
    <w:pPr>
      <w:autoSpaceDE w:val="1"/>
      <w:autoSpaceDN w:val="1"/>
      <w:ind w:left="2200" w:hanging="400"/>
      <w:jc w:val="both"/>
      <w:widowControl/>
      <w:wordWrap/>
    </w:pPr>
    <w:rPr>
      <w:shd w:val="clear"/>
      <w:sz w:val="21"/>
      <w:szCs w:val="21"/>
      <w:w w:val="100"/>
    </w:rPr>
  </w:style>
  <w:style w:styleId="PO16" w:type="paragraph">
    <w:name w:val="Subtitle"/>
    <w:link w:val="PO-1"/>
    <w:qFormat/>
    <w:uiPriority w:val="16"/>
    <w:pPr>
      <w:autoSpaceDE w:val="1"/>
      <w:autoSpaceDN w:val="1"/>
      <w:jc w:val="center"/>
      <w:widowControl/>
      <w:wordWrap/>
    </w:pPr>
    <w:rPr>
      <w:shd w:val="clear"/>
      <w:sz w:val="24"/>
      <w:szCs w:val="24"/>
      <w:w w:val="100"/>
    </w:rPr>
  </w:style>
  <w:style w:styleId="PO17" w:type="character">
    <w:name w:val="Subtle Emphasis"/>
    <w:qFormat/>
    <w:uiPriority w:val="17"/>
    <w:rPr>
      <w:color w:val="404040"/>
      <w:i/>
      <w:shd w:val="clear"/>
      <w:sz w:val="21"/>
      <w:szCs w:val="21"/>
      <w:w w:val="100"/>
    </w:rPr>
  </w:style>
  <w:style w:styleId="PO18" w:type="character">
    <w:name w:val="Emphasis"/>
    <w:qFormat/>
    <w:uiPriority w:val="18"/>
    <w:rPr>
      <w:i/>
      <w:shd w:val="clear"/>
      <w:sz w:val="21"/>
      <w:szCs w:val="21"/>
      <w:w w:val="100"/>
    </w:rPr>
  </w:style>
  <w:style w:styleId="PO19" w:type="character">
    <w:name w:val="Intense Emphasis"/>
    <w:qFormat/>
    <w:uiPriority w:val="19"/>
    <w:rPr>
      <w:color w:val="5B9BD5"/>
      <w:i/>
      <w:shd w:val="clear"/>
      <w:sz w:val="21"/>
      <w:szCs w:val="21"/>
      <w:w w:val="100"/>
    </w:rPr>
  </w:style>
  <w:style w:styleId="PO20" w:type="character">
    <w:name w:val="Strong"/>
    <w:qFormat/>
    <w:uiPriority w:val="20"/>
    <w:rPr>
      <w:b/>
      <w:shd w:val="clear"/>
      <w:sz w:val="21"/>
      <w:szCs w:val="21"/>
      <w:w w:val="100"/>
    </w:rPr>
  </w:style>
  <w:style w:styleId="PO21" w:type="paragraph">
    <w:name w:val="Quote"/>
    <w:link w:val="PO-1"/>
    <w:qFormat/>
    <w:uiPriority w:val="21"/>
    <w:pPr>
      <w:autoSpaceDE w:val="1"/>
      <w:autoSpaceDN w:val="1"/>
      <w:ind w:left="864" w:right="864" w:firstLine="0"/>
      <w:jc w:val="center"/>
      <w:widowControl/>
      <w:wordWrap/>
    </w:pPr>
    <w:rPr>
      <w:color w:val="404040"/>
      <w:i/>
      <w:shd w:val="clear"/>
      <w:sz w:val="21"/>
      <w:szCs w:val="21"/>
      <w:w w:val="100"/>
    </w:rPr>
  </w:style>
  <w:style w:styleId="PO22" w:type="paragraph">
    <w:name w:val="Intense Quote"/>
    <w:link w:val="PO-1"/>
    <w:qFormat/>
    <w:uiPriority w:val="22"/>
    <w:pPr>
      <w:autoSpaceDE w:val="1"/>
      <w:autoSpaceDN w:val="1"/>
      <w:ind w:left="950" w:right="950" w:firstLine="0"/>
      <w:jc w:val="center"/>
      <w:widowControl/>
      <w:wordWrap/>
    </w:pPr>
    <w:rPr>
      <w:color w:val="5B9BD5"/>
      <w:i/>
      <w:shd w:val="clear"/>
      <w:sz w:val="21"/>
      <w:szCs w:val="21"/>
      <w:w w:val="100"/>
    </w:rPr>
  </w:style>
  <w:style w:styleId="PO23" w:type="character">
    <w:name w:val="Subtle Reference"/>
    <w:qFormat/>
    <w:uiPriority w:val="23"/>
    <w:rPr>
      <w:color w:val="5A5A5A"/>
      <w:shd w:val="clear"/>
      <w:smallCaps/>
      <w:sz w:val="21"/>
      <w:szCs w:val="21"/>
      <w:w w:val="100"/>
    </w:rPr>
  </w:style>
  <w:style w:styleId="PO24" w:type="character">
    <w:name w:val="Intense Reference"/>
    <w:qFormat/>
    <w:uiPriority w:val="24"/>
    <w:rPr>
      <w:color w:val="5B9BD5"/>
      <w:b/>
      <w:shd w:val="clear"/>
      <w:smallCaps/>
      <w:sz w:val="21"/>
      <w:szCs w:val="21"/>
      <w:w w:val="100"/>
    </w:rPr>
  </w:style>
  <w:style w:styleId="PO25" w:type="character">
    <w:name w:val="Book Title"/>
    <w:qFormat/>
    <w:uiPriority w:val="25"/>
    <w:rPr>
      <w:i/>
      <w:b/>
      <w:shd w:val="clear"/>
      <w:sz w:val="21"/>
      <w:szCs w:val="21"/>
      <w:w w:val="100"/>
    </w:rPr>
  </w:style>
  <w:style w:styleId="PO26" w:type="paragraph">
    <w:name w:val="List Paragraph"/>
    <w:link w:val="PO-1"/>
    <w:qFormat/>
    <w:uiPriority w:val="26"/>
    <w:pPr>
      <w:autoSpaceDE w:val="1"/>
      <w:autoSpaceDN w:val="1"/>
      <w:ind w:left="850" w:firstLine="0"/>
      <w:jc w:val="both"/>
      <w:widowControl/>
      <w:wordWrap/>
    </w:pPr>
    <w:rPr>
      <w:shd w:val="clear"/>
      <w:sz w:val="21"/>
      <w:szCs w:val="21"/>
      <w:w w:val="100"/>
    </w:rPr>
  </w:style>
  <w:style w:styleId="PO27" w:type="paragraph">
    <w:name w:val="TOC Heading"/>
    <w:link w:val="PO-1"/>
    <w:qFormat/>
    <w:uiPriority w:val="27"/>
    <w:unhideWhenUsed/>
    <w:pPr>
      <w:autoSpaceDE w:val="1"/>
      <w:autoSpaceDN w:val="1"/>
      <w:widowControl/>
      <w:wordWrap/>
    </w:pPr>
    <w:rPr>
      <w:color w:val="2E74B5"/>
      <w:shd w:val="clear"/>
      <w:sz w:val="32"/>
      <w:szCs w:val="32"/>
      <w:w w:val="100"/>
    </w:rPr>
  </w:style>
  <w:style w:styleId="PO28" w:type="paragraph">
    <w:name w:val="toc 1"/>
    <w:link w:val="PO-1"/>
    <w:qFormat/>
    <w:uiPriority w:val="28"/>
    <w:unhideWhenUsed/>
    <w:pPr>
      <w:autoSpaceDE w:val="1"/>
      <w:autoSpaceDN w:val="1"/>
      <w:jc w:val="both"/>
      <w:widowControl/>
      <w:wordWrap/>
    </w:pPr>
    <w:rPr>
      <w:shd w:val="clear"/>
      <w:sz w:val="21"/>
      <w:szCs w:val="21"/>
      <w:w w:val="100"/>
    </w:rPr>
  </w:style>
  <w:style w:styleId="PO29" w:type="paragraph">
    <w:name w:val="toc 2"/>
    <w:link w:val="PO-1"/>
    <w:qFormat/>
    <w:uiPriority w:val="29"/>
    <w:unhideWhenUsed/>
    <w:pPr>
      <w:autoSpaceDE w:val="1"/>
      <w:autoSpaceDN w:val="1"/>
      <w:ind w:left="425" w:firstLine="0"/>
      <w:jc w:val="both"/>
      <w:widowControl/>
      <w:wordWrap/>
    </w:pPr>
    <w:rPr>
      <w:shd w:val="clear"/>
      <w:sz w:val="21"/>
      <w:szCs w:val="21"/>
      <w:w w:val="100"/>
    </w:rPr>
  </w:style>
  <w:style w:styleId="PO30" w:type="paragraph">
    <w:name w:val="toc 3"/>
    <w:link w:val="PO-1"/>
    <w:qFormat/>
    <w:uiPriority w:val="30"/>
    <w:unhideWhenUsed/>
    <w:pPr>
      <w:autoSpaceDE w:val="1"/>
      <w:autoSpaceDN w:val="1"/>
      <w:ind w:left="850" w:firstLine="0"/>
      <w:jc w:val="both"/>
      <w:widowControl/>
      <w:wordWrap/>
    </w:pPr>
    <w:rPr>
      <w:shd w:val="clear"/>
      <w:sz w:val="21"/>
      <w:szCs w:val="21"/>
      <w:w w:val="100"/>
    </w:rPr>
  </w:style>
  <w:style w:styleId="PO31" w:type="paragraph">
    <w:name w:val="toc 4"/>
    <w:link w:val="PO-1"/>
    <w:qFormat/>
    <w:uiPriority w:val="31"/>
    <w:unhideWhenUsed/>
    <w:pPr>
      <w:autoSpaceDE w:val="1"/>
      <w:autoSpaceDN w:val="1"/>
      <w:ind w:left="1275" w:firstLine="0"/>
      <w:jc w:val="both"/>
      <w:widowControl/>
      <w:wordWrap/>
    </w:pPr>
    <w:rPr>
      <w:shd w:val="clear"/>
      <w:sz w:val="21"/>
      <w:szCs w:val="21"/>
      <w:w w:val="100"/>
    </w:rPr>
  </w:style>
  <w:style w:styleId="PO32" w:type="paragraph">
    <w:name w:val="toc 5"/>
    <w:link w:val="PO-1"/>
    <w:qFormat/>
    <w:uiPriority w:val="32"/>
    <w:unhideWhenUsed/>
    <w:pPr>
      <w:autoSpaceDE w:val="1"/>
      <w:autoSpaceDN w:val="1"/>
      <w:ind w:left="1700" w:firstLine="0"/>
      <w:jc w:val="both"/>
      <w:widowControl/>
      <w:wordWrap/>
    </w:pPr>
    <w:rPr>
      <w:shd w:val="clear"/>
      <w:sz w:val="21"/>
      <w:szCs w:val="21"/>
      <w:w w:val="100"/>
    </w:rPr>
  </w:style>
  <w:style w:styleId="PO33" w:type="paragraph">
    <w:name w:val="toc 6"/>
    <w:link w:val="PO-1"/>
    <w:qFormat/>
    <w:uiPriority w:val="33"/>
    <w:unhideWhenUsed/>
    <w:pPr>
      <w:autoSpaceDE w:val="1"/>
      <w:autoSpaceDN w:val="1"/>
      <w:ind w:left="2125" w:firstLine="0"/>
      <w:jc w:val="both"/>
      <w:widowControl/>
      <w:wordWrap/>
    </w:pPr>
    <w:rPr>
      <w:shd w:val="clear"/>
      <w:sz w:val="21"/>
      <w:szCs w:val="21"/>
      <w:w w:val="100"/>
    </w:rPr>
  </w:style>
  <w:style w:styleId="PO34" w:type="paragraph">
    <w:name w:val="toc 7"/>
    <w:link w:val="PO-1"/>
    <w:qFormat/>
    <w:uiPriority w:val="34"/>
    <w:unhideWhenUsed/>
    <w:pPr>
      <w:autoSpaceDE w:val="1"/>
      <w:autoSpaceDN w:val="1"/>
      <w:ind w:left="2550" w:firstLine="0"/>
      <w:jc w:val="both"/>
      <w:widowControl/>
      <w:wordWrap/>
    </w:pPr>
    <w:rPr>
      <w:shd w:val="clear"/>
      <w:sz w:val="21"/>
      <w:szCs w:val="21"/>
      <w:w w:val="100"/>
    </w:rPr>
  </w:style>
  <w:style w:styleId="PO35" w:type="paragraph">
    <w:name w:val="toc 8"/>
    <w:link w:val="PO-1"/>
    <w:qFormat/>
    <w:uiPriority w:val="35"/>
    <w:unhideWhenUsed/>
    <w:pPr>
      <w:autoSpaceDE w:val="1"/>
      <w:autoSpaceDN w:val="1"/>
      <w:ind w:left="2975" w:firstLine="0"/>
      <w:jc w:val="both"/>
      <w:widowControl/>
      <w:wordWrap/>
    </w:pPr>
    <w:rPr>
      <w:shd w:val="clear"/>
      <w:sz w:val="21"/>
      <w:szCs w:val="21"/>
      <w:w w:val="100"/>
    </w:rPr>
  </w:style>
  <w:style w:styleId="PO36" w:type="paragraph">
    <w:name w:val="toc 9"/>
    <w:link w:val="PO-1"/>
    <w:qFormat/>
    <w:uiPriority w:val="36"/>
    <w:unhideWhenUsed/>
    <w:pPr>
      <w:autoSpaceDE w:val="1"/>
      <w:autoSpaceDN w:val="1"/>
      <w:ind w:left="3400" w:firstLine="0"/>
      <w:jc w:val="both"/>
      <w:widowControl/>
      <w:wordWrap/>
    </w:pPr>
    <w:rPr>
      <w:shd w:val="clear"/>
      <w:sz w:val="21"/>
      <w:szCs w:val="21"/>
      <w:w w:val="1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JisuOffice Write</Application>
  <AppVersion>12.000</AppVersion>
  <Characters>0</Characters>
  <CharactersWithSpaces>0</CharactersWithSpaces>
  <DocSecurity>0</DocSecurity>
  <HyperlinksChanged>false</HyperlinksChanged>
  <Lines>0</Lines>
  <LinksUpToDate>false</LinksUpToDate>
  <Pages>2</Pages>
  <Paragraphs>0</Paragraphs>
  <Words>40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cp:lastModifiedBy/>
</cp:coreProperties>
</file>